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6D76" w14:textId="77777777" w:rsidR="001F1DA1" w:rsidRPr="00323237" w:rsidRDefault="001F1DA1" w:rsidP="00FA6A0C">
      <w:pPr>
        <w:jc w:val="both"/>
        <w:rPr>
          <w:sz w:val="24"/>
          <w:szCs w:val="24"/>
        </w:rPr>
      </w:pPr>
    </w:p>
    <w:p w14:paraId="7DD62DC4" w14:textId="77777777" w:rsidR="00FA6A0C" w:rsidRPr="00323237" w:rsidRDefault="00FA6A0C" w:rsidP="00FA6A0C">
      <w:pPr>
        <w:jc w:val="both"/>
        <w:rPr>
          <w:rFonts w:ascii="Maiandra GD" w:hAnsi="Maiandra GD"/>
          <w:b/>
          <w:bCs/>
          <w:sz w:val="24"/>
          <w:szCs w:val="24"/>
          <w:u w:val="single"/>
        </w:rPr>
      </w:pPr>
    </w:p>
    <w:p w14:paraId="1CA6B99B" w14:textId="77777777" w:rsidR="00FA6A0C" w:rsidRPr="00323237" w:rsidRDefault="00FA6A0C" w:rsidP="00FA6A0C">
      <w:pPr>
        <w:jc w:val="both"/>
        <w:rPr>
          <w:rFonts w:ascii="Maiandra GD" w:hAnsi="Maiandra GD"/>
          <w:b/>
          <w:bCs/>
          <w:sz w:val="24"/>
          <w:szCs w:val="24"/>
          <w:u w:val="single"/>
        </w:rPr>
      </w:pPr>
      <w:r w:rsidRPr="00323237">
        <w:rPr>
          <w:rFonts w:ascii="Maiandra GD" w:hAnsi="Maiandra GD"/>
          <w:b/>
          <w:bCs/>
          <w:sz w:val="24"/>
          <w:szCs w:val="24"/>
          <w:u w:val="single"/>
        </w:rPr>
        <w:t>WELCOME ADDRESS BY MR. BASHEER A. CHOWDRY, CHAIRMAN, NBFI &amp; MODARABA ASSOCIATION OF PAKISTAN</w:t>
      </w:r>
      <w:r w:rsidR="00C00624" w:rsidRPr="00323237">
        <w:rPr>
          <w:rFonts w:ascii="Maiandra GD" w:hAnsi="Maiandra GD"/>
          <w:b/>
          <w:bCs/>
          <w:sz w:val="24"/>
          <w:szCs w:val="24"/>
          <w:u w:val="single"/>
        </w:rPr>
        <w:t>: 25 JANUARY</w:t>
      </w:r>
      <w:r w:rsidR="007401CF" w:rsidRPr="00323237">
        <w:rPr>
          <w:rFonts w:ascii="Maiandra GD" w:hAnsi="Maiandra GD"/>
          <w:b/>
          <w:bCs/>
          <w:sz w:val="24"/>
          <w:szCs w:val="24"/>
          <w:u w:val="single"/>
        </w:rPr>
        <w:t xml:space="preserve">  </w:t>
      </w:r>
      <w:r w:rsidR="00C00624" w:rsidRPr="00323237">
        <w:rPr>
          <w:rFonts w:ascii="Maiandra GD" w:hAnsi="Maiandra GD"/>
          <w:b/>
          <w:bCs/>
          <w:sz w:val="24"/>
          <w:szCs w:val="24"/>
          <w:u w:val="single"/>
        </w:rPr>
        <w:t>2021</w:t>
      </w:r>
    </w:p>
    <w:p w14:paraId="432B3D75" w14:textId="77777777" w:rsidR="001B0FC1" w:rsidRPr="00323237" w:rsidRDefault="001B0FC1" w:rsidP="00FA6A0C">
      <w:pPr>
        <w:jc w:val="both"/>
        <w:rPr>
          <w:rFonts w:ascii="Maiandra GD" w:hAnsi="Maiandra GD"/>
          <w:b/>
          <w:bCs/>
          <w:sz w:val="24"/>
          <w:szCs w:val="24"/>
          <w:u w:val="single"/>
        </w:rPr>
      </w:pPr>
    </w:p>
    <w:p w14:paraId="6CE19CA6" w14:textId="4A154567" w:rsidR="0049702C" w:rsidRPr="00323237" w:rsidRDefault="00FA6A0C" w:rsidP="00FA6A0C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 xml:space="preserve">On behalf of NBFI &amp; Modaraba Association of Pakistan, I </w:t>
      </w:r>
      <w:r w:rsidR="00AE3823" w:rsidRPr="00323237">
        <w:rPr>
          <w:rFonts w:ascii="Maiandra GD" w:hAnsi="Maiandra GD"/>
          <w:sz w:val="24"/>
          <w:szCs w:val="24"/>
        </w:rPr>
        <w:t xml:space="preserve">welcome you all </w:t>
      </w:r>
      <w:r w:rsidR="007401CF" w:rsidRPr="00323237">
        <w:rPr>
          <w:rFonts w:ascii="Maiandra GD" w:hAnsi="Maiandra GD"/>
          <w:sz w:val="24"/>
          <w:szCs w:val="24"/>
        </w:rPr>
        <w:t xml:space="preserve">to </w:t>
      </w:r>
      <w:r w:rsidR="00AE3823" w:rsidRPr="00323237">
        <w:rPr>
          <w:rFonts w:ascii="Maiandra GD" w:hAnsi="Maiandra GD"/>
          <w:sz w:val="24"/>
          <w:szCs w:val="24"/>
        </w:rPr>
        <w:t xml:space="preserve"> the launching </w:t>
      </w:r>
      <w:r w:rsidRPr="00323237">
        <w:rPr>
          <w:rFonts w:ascii="Maiandra GD" w:hAnsi="Maiandra GD"/>
          <w:sz w:val="24"/>
          <w:szCs w:val="24"/>
        </w:rPr>
        <w:t xml:space="preserve"> ceremony of the Country Report on N</w:t>
      </w:r>
      <w:r w:rsidR="007401CF" w:rsidRPr="00323237">
        <w:rPr>
          <w:rFonts w:ascii="Maiandra GD" w:hAnsi="Maiandra GD"/>
          <w:sz w:val="24"/>
          <w:szCs w:val="24"/>
        </w:rPr>
        <w:t xml:space="preserve">on Baqnking and </w:t>
      </w:r>
      <w:r w:rsidRPr="00323237">
        <w:rPr>
          <w:rFonts w:ascii="Maiandra GD" w:hAnsi="Maiandra GD"/>
          <w:sz w:val="24"/>
          <w:szCs w:val="24"/>
        </w:rPr>
        <w:t xml:space="preserve">  Modaraba Sector</w:t>
      </w:r>
      <w:r w:rsidR="000473FE" w:rsidRPr="00323237">
        <w:rPr>
          <w:rFonts w:ascii="Maiandra GD" w:hAnsi="Maiandra GD"/>
          <w:sz w:val="24"/>
          <w:szCs w:val="24"/>
        </w:rPr>
        <w:t xml:space="preserve">. The Report  </w:t>
      </w:r>
      <w:r w:rsidRPr="00323237">
        <w:rPr>
          <w:rFonts w:ascii="Maiandra GD" w:hAnsi="Maiandra GD"/>
          <w:sz w:val="24"/>
          <w:szCs w:val="24"/>
        </w:rPr>
        <w:t>has b</w:t>
      </w:r>
      <w:r w:rsidR="00E363CB" w:rsidRPr="00323237">
        <w:rPr>
          <w:rFonts w:ascii="Maiandra GD" w:hAnsi="Maiandra GD"/>
          <w:sz w:val="24"/>
          <w:szCs w:val="24"/>
        </w:rPr>
        <w:t>een prepared in collaboration with</w:t>
      </w:r>
      <w:r w:rsidRPr="00323237">
        <w:rPr>
          <w:rFonts w:ascii="Maiandra GD" w:hAnsi="Maiandra GD"/>
          <w:sz w:val="24"/>
          <w:szCs w:val="24"/>
        </w:rPr>
        <w:t xml:space="preserve"> IBA-CEIF.</w:t>
      </w:r>
      <w:r w:rsidR="0049702C" w:rsidRPr="00323237">
        <w:rPr>
          <w:rFonts w:ascii="Maiandra GD" w:hAnsi="Maiandra GD"/>
          <w:sz w:val="24"/>
          <w:szCs w:val="24"/>
        </w:rPr>
        <w:t xml:space="preserve"> I am grateful to Dr. Ishrat Hussain, Advisor to PM who</w:t>
      </w:r>
      <w:r w:rsidR="00AE3823" w:rsidRPr="00323237">
        <w:rPr>
          <w:rFonts w:ascii="Maiandra GD" w:hAnsi="Maiandra GD"/>
          <w:sz w:val="24"/>
          <w:szCs w:val="24"/>
        </w:rPr>
        <w:t xml:space="preserve">, </w:t>
      </w:r>
      <w:r w:rsidR="0049702C" w:rsidRPr="00323237">
        <w:rPr>
          <w:rFonts w:ascii="Maiandra GD" w:hAnsi="Maiandra GD"/>
          <w:sz w:val="24"/>
          <w:szCs w:val="24"/>
        </w:rPr>
        <w:t xml:space="preserve"> inspite of his </w:t>
      </w:r>
      <w:r w:rsidR="00AE3823" w:rsidRPr="00323237">
        <w:rPr>
          <w:rFonts w:ascii="Maiandra GD" w:hAnsi="Maiandra GD"/>
          <w:sz w:val="24"/>
          <w:szCs w:val="24"/>
        </w:rPr>
        <w:t xml:space="preserve">very </w:t>
      </w:r>
      <w:r w:rsidR="0049702C" w:rsidRPr="00323237">
        <w:rPr>
          <w:rFonts w:ascii="Maiandra GD" w:hAnsi="Maiandra GD"/>
          <w:sz w:val="24"/>
          <w:szCs w:val="24"/>
        </w:rPr>
        <w:t xml:space="preserve">busy schedule, </w:t>
      </w:r>
      <w:r w:rsidR="000473FE" w:rsidRPr="00323237">
        <w:rPr>
          <w:rFonts w:ascii="Maiandra GD" w:hAnsi="Maiandra GD"/>
          <w:sz w:val="24"/>
          <w:szCs w:val="24"/>
        </w:rPr>
        <w:t xml:space="preserve">is the chief guestof </w:t>
      </w:r>
      <w:r w:rsidR="0049702C" w:rsidRPr="00323237">
        <w:rPr>
          <w:rFonts w:ascii="Maiandra GD" w:hAnsi="Maiandra GD"/>
          <w:sz w:val="24"/>
          <w:szCs w:val="24"/>
        </w:rPr>
        <w:t xml:space="preserve">this ceremony. I am also grateful to Mr. Farrukh Sabzwari, Commissioner, SECP and Ms. Bushra Aslam, Registrar Modaraba for their </w:t>
      </w:r>
      <w:r w:rsidR="00AE3823" w:rsidRPr="00323237">
        <w:rPr>
          <w:rFonts w:ascii="Maiandra GD" w:hAnsi="Maiandra GD"/>
          <w:sz w:val="24"/>
          <w:szCs w:val="24"/>
        </w:rPr>
        <w:t xml:space="preserve">particpation in today’s event and their continued </w:t>
      </w:r>
      <w:r w:rsidR="007401CF" w:rsidRPr="00323237">
        <w:rPr>
          <w:rFonts w:ascii="Maiandra GD" w:hAnsi="Maiandra GD"/>
          <w:sz w:val="24"/>
          <w:szCs w:val="24"/>
        </w:rPr>
        <w:t>support. The valuable presence of Dr</w:t>
      </w:r>
      <w:r w:rsidR="00192796" w:rsidRPr="00323237">
        <w:rPr>
          <w:rFonts w:ascii="Maiandra GD" w:hAnsi="Maiandra GD"/>
          <w:sz w:val="24"/>
          <w:szCs w:val="24"/>
        </w:rPr>
        <w:t>.</w:t>
      </w:r>
      <w:r w:rsidR="007401CF" w:rsidRPr="00323237">
        <w:rPr>
          <w:rFonts w:ascii="Maiandra GD" w:hAnsi="Maiandra GD"/>
          <w:sz w:val="24"/>
          <w:szCs w:val="24"/>
        </w:rPr>
        <w:t xml:space="preserve">  Akbar Zaidi </w:t>
      </w:r>
      <w:r w:rsidR="00CA1EEA" w:rsidRPr="00323237">
        <w:rPr>
          <w:rFonts w:ascii="Maiandra GD" w:hAnsi="Maiandra GD"/>
          <w:sz w:val="24"/>
          <w:szCs w:val="24"/>
        </w:rPr>
        <w:t>Executive Director IBA and Mr</w:t>
      </w:r>
      <w:r w:rsidR="00192796" w:rsidRPr="00323237">
        <w:rPr>
          <w:rFonts w:ascii="Maiandra GD" w:hAnsi="Maiandra GD"/>
          <w:sz w:val="24"/>
          <w:szCs w:val="24"/>
        </w:rPr>
        <w:t>.</w:t>
      </w:r>
      <w:r w:rsidR="00CA1EEA" w:rsidRPr="00323237">
        <w:rPr>
          <w:rFonts w:ascii="Maiandra GD" w:hAnsi="Maiandra GD"/>
          <w:sz w:val="24"/>
          <w:szCs w:val="24"/>
        </w:rPr>
        <w:t xml:space="preserve"> Ahmed Ali Siddiqui Director Center of Exellence </w:t>
      </w:r>
      <w:r w:rsidR="00192796" w:rsidRPr="00323237">
        <w:rPr>
          <w:rFonts w:ascii="Maiandra GD" w:hAnsi="Maiandra GD"/>
          <w:sz w:val="24"/>
          <w:szCs w:val="24"/>
        </w:rPr>
        <w:t>in</w:t>
      </w:r>
      <w:r w:rsidR="00CA1EEA" w:rsidRPr="00323237">
        <w:rPr>
          <w:rFonts w:ascii="Maiandra GD" w:hAnsi="Maiandra GD"/>
          <w:sz w:val="24"/>
          <w:szCs w:val="24"/>
        </w:rPr>
        <w:t xml:space="preserve"> Islamic Finance is very encourgaing and we sincerely thank them and their coll</w:t>
      </w:r>
      <w:r w:rsidR="00192796" w:rsidRPr="00323237">
        <w:rPr>
          <w:rFonts w:ascii="Maiandra GD" w:hAnsi="Maiandra GD"/>
          <w:sz w:val="24"/>
          <w:szCs w:val="24"/>
        </w:rPr>
        <w:t>ea</w:t>
      </w:r>
      <w:r w:rsidR="00CA1EEA" w:rsidRPr="00323237">
        <w:rPr>
          <w:rFonts w:ascii="Maiandra GD" w:hAnsi="Maiandra GD"/>
          <w:sz w:val="24"/>
          <w:szCs w:val="24"/>
        </w:rPr>
        <w:t>gues for making thi</w:t>
      </w:r>
      <w:r w:rsidR="00192796" w:rsidRPr="00323237">
        <w:rPr>
          <w:rFonts w:ascii="Maiandra GD" w:hAnsi="Maiandra GD"/>
          <w:sz w:val="24"/>
          <w:szCs w:val="24"/>
        </w:rPr>
        <w:t xml:space="preserve">s </w:t>
      </w:r>
      <w:r w:rsidR="00CA1EEA" w:rsidRPr="00323237">
        <w:rPr>
          <w:rFonts w:ascii="Maiandra GD" w:hAnsi="Maiandra GD"/>
          <w:sz w:val="24"/>
          <w:szCs w:val="24"/>
        </w:rPr>
        <w:t>even</w:t>
      </w:r>
      <w:r w:rsidR="00192796" w:rsidRPr="00323237">
        <w:rPr>
          <w:rFonts w:ascii="Maiandra GD" w:hAnsi="Maiandra GD"/>
          <w:sz w:val="24"/>
          <w:szCs w:val="24"/>
        </w:rPr>
        <w:t>t</w:t>
      </w:r>
      <w:r w:rsidR="00CA1EEA" w:rsidRPr="00323237">
        <w:rPr>
          <w:rFonts w:ascii="Maiandra GD" w:hAnsi="Maiandra GD"/>
          <w:sz w:val="24"/>
          <w:szCs w:val="24"/>
        </w:rPr>
        <w:t xml:space="preserve"> possible.</w:t>
      </w:r>
    </w:p>
    <w:p w14:paraId="264382C5" w14:textId="77777777" w:rsidR="00C00624" w:rsidRPr="00323237" w:rsidRDefault="00C00624" w:rsidP="000473FE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>Ladies and gentelmen,</w:t>
      </w:r>
    </w:p>
    <w:p w14:paraId="06FC79CA" w14:textId="2D146A5F" w:rsidR="000473FE" w:rsidRPr="00323237" w:rsidRDefault="000473FE" w:rsidP="000473FE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 xml:space="preserve">Non-banking and  Modaraba Sectors are an integral component of our financial system. They play an  important role  for serving financial needs of different segments and complementing the banking </w:t>
      </w:r>
      <w:r w:rsidR="00CA1EEA" w:rsidRPr="00323237">
        <w:rPr>
          <w:rFonts w:ascii="Maiandra GD" w:hAnsi="Maiandra GD"/>
          <w:sz w:val="24"/>
          <w:szCs w:val="24"/>
        </w:rPr>
        <w:t xml:space="preserve">system </w:t>
      </w:r>
      <w:r w:rsidRPr="00323237">
        <w:rPr>
          <w:rFonts w:ascii="Maiandra GD" w:hAnsi="Maiandra GD"/>
          <w:sz w:val="24"/>
          <w:szCs w:val="24"/>
        </w:rPr>
        <w:t xml:space="preserve">and </w:t>
      </w:r>
      <w:r w:rsidR="00CA1EEA" w:rsidRPr="00323237">
        <w:rPr>
          <w:rFonts w:ascii="Maiandra GD" w:hAnsi="Maiandra GD"/>
          <w:sz w:val="24"/>
          <w:szCs w:val="24"/>
        </w:rPr>
        <w:t xml:space="preserve"> financial </w:t>
      </w:r>
      <w:r w:rsidRPr="00323237">
        <w:rPr>
          <w:rFonts w:ascii="Maiandra GD" w:hAnsi="Maiandra GD"/>
          <w:sz w:val="24"/>
          <w:szCs w:val="24"/>
        </w:rPr>
        <w:t xml:space="preserve">value-chain in Pakistan. They help in financial inclusion, </w:t>
      </w:r>
      <w:r w:rsidR="00CA1EEA" w:rsidRPr="00323237">
        <w:rPr>
          <w:rFonts w:ascii="Maiandra GD" w:hAnsi="Maiandra GD"/>
          <w:sz w:val="24"/>
          <w:szCs w:val="24"/>
        </w:rPr>
        <w:t>asset</w:t>
      </w:r>
      <w:r w:rsidRPr="00323237">
        <w:rPr>
          <w:rFonts w:ascii="Maiandra GD" w:hAnsi="Maiandra GD"/>
          <w:sz w:val="24"/>
          <w:szCs w:val="24"/>
        </w:rPr>
        <w:t xml:space="preserve"> creation and economic </w:t>
      </w:r>
      <w:r w:rsidR="00CA1EEA" w:rsidRPr="00323237">
        <w:rPr>
          <w:rFonts w:ascii="Maiandra GD" w:hAnsi="Maiandra GD"/>
          <w:sz w:val="24"/>
          <w:szCs w:val="24"/>
        </w:rPr>
        <w:t xml:space="preserve">development </w:t>
      </w:r>
      <w:r w:rsidRPr="00323237">
        <w:rPr>
          <w:rFonts w:ascii="Maiandra GD" w:hAnsi="Maiandra GD"/>
          <w:sz w:val="24"/>
          <w:szCs w:val="24"/>
        </w:rPr>
        <w:t xml:space="preserve"> of medium to small entities by offering specialized products like leasi</w:t>
      </w:r>
      <w:r w:rsidR="00C00624" w:rsidRPr="00323237">
        <w:rPr>
          <w:rFonts w:ascii="Maiandra GD" w:hAnsi="Maiandra GD"/>
          <w:sz w:val="24"/>
          <w:szCs w:val="24"/>
        </w:rPr>
        <w:t xml:space="preserve">ng, agro-based activities and </w:t>
      </w:r>
      <w:r w:rsidRPr="00323237">
        <w:rPr>
          <w:rFonts w:ascii="Maiandra GD" w:hAnsi="Maiandra GD"/>
          <w:sz w:val="24"/>
          <w:szCs w:val="24"/>
        </w:rPr>
        <w:t>also financing facilities designed  to their needs.</w:t>
      </w:r>
      <w:r w:rsidR="00192796" w:rsidRPr="00323237">
        <w:rPr>
          <w:rFonts w:ascii="Maiandra GD" w:hAnsi="Maiandra GD"/>
          <w:sz w:val="24"/>
          <w:szCs w:val="24"/>
        </w:rPr>
        <w:t xml:space="preserve"> </w:t>
      </w:r>
      <w:r w:rsidRPr="00323237">
        <w:rPr>
          <w:rFonts w:ascii="Maiandra GD" w:hAnsi="Maiandra GD"/>
          <w:sz w:val="24"/>
          <w:szCs w:val="24"/>
        </w:rPr>
        <w:t xml:space="preserve">NBFIs </w:t>
      </w:r>
      <w:r w:rsidR="00C00624" w:rsidRPr="00323237">
        <w:rPr>
          <w:rFonts w:ascii="Maiandra GD" w:hAnsi="Maiandra GD"/>
          <w:sz w:val="24"/>
          <w:szCs w:val="24"/>
        </w:rPr>
        <w:t xml:space="preserve">also help promote </w:t>
      </w:r>
      <w:r w:rsidRPr="00323237">
        <w:rPr>
          <w:rFonts w:ascii="Maiandra GD" w:hAnsi="Maiandra GD"/>
          <w:sz w:val="24"/>
          <w:szCs w:val="24"/>
        </w:rPr>
        <w:t>culture for documentation and generally</w:t>
      </w:r>
      <w:r w:rsidR="00C00624" w:rsidRPr="00323237">
        <w:rPr>
          <w:rFonts w:ascii="Maiandra GD" w:hAnsi="Maiandra GD"/>
          <w:sz w:val="24"/>
          <w:szCs w:val="24"/>
        </w:rPr>
        <w:t xml:space="preserve"> reach out to the economically </w:t>
      </w:r>
      <w:r w:rsidRPr="00323237">
        <w:rPr>
          <w:rFonts w:ascii="Maiandra GD" w:hAnsi="Maiandra GD"/>
          <w:sz w:val="24"/>
          <w:szCs w:val="24"/>
        </w:rPr>
        <w:t>un-catered for  and unbanked segments of the society.</w:t>
      </w:r>
    </w:p>
    <w:p w14:paraId="1ED8F308" w14:textId="03844F5A" w:rsidR="000473FE" w:rsidRPr="00323237" w:rsidRDefault="000473FE" w:rsidP="00FA6A0C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 xml:space="preserve">Modarabas are a unique concept, providing Sharaiah compliant mechanics for all </w:t>
      </w:r>
      <w:r w:rsidR="00CA1EEA" w:rsidRPr="00323237">
        <w:rPr>
          <w:rFonts w:ascii="Maiandra GD" w:hAnsi="Maiandra GD"/>
          <w:sz w:val="24"/>
          <w:szCs w:val="24"/>
        </w:rPr>
        <w:t>H</w:t>
      </w:r>
      <w:r w:rsidRPr="00323237">
        <w:rPr>
          <w:rFonts w:ascii="Maiandra GD" w:hAnsi="Maiandra GD"/>
          <w:sz w:val="24"/>
          <w:szCs w:val="24"/>
        </w:rPr>
        <w:t>alal business  activities including trading,</w:t>
      </w:r>
      <w:r w:rsidR="00192796" w:rsidRPr="00323237">
        <w:rPr>
          <w:rFonts w:ascii="Maiandra GD" w:hAnsi="Maiandra GD"/>
          <w:sz w:val="24"/>
          <w:szCs w:val="24"/>
        </w:rPr>
        <w:t xml:space="preserve"> </w:t>
      </w:r>
      <w:r w:rsidRPr="00323237">
        <w:rPr>
          <w:rFonts w:ascii="Maiandra GD" w:hAnsi="Maiandra GD"/>
          <w:sz w:val="24"/>
          <w:szCs w:val="24"/>
        </w:rPr>
        <w:t xml:space="preserve">financial services, manufacturing </w:t>
      </w:r>
      <w:r w:rsidR="00192796" w:rsidRPr="00323237">
        <w:rPr>
          <w:rFonts w:ascii="Maiandra GD" w:hAnsi="Maiandra GD"/>
          <w:sz w:val="24"/>
          <w:szCs w:val="24"/>
        </w:rPr>
        <w:t xml:space="preserve">and </w:t>
      </w:r>
      <w:r w:rsidR="00CA1EEA" w:rsidRPr="00323237">
        <w:rPr>
          <w:rFonts w:ascii="Maiandra GD" w:hAnsi="Maiandra GD"/>
          <w:sz w:val="24"/>
          <w:szCs w:val="24"/>
        </w:rPr>
        <w:t xml:space="preserve"> </w:t>
      </w:r>
      <w:r w:rsidRPr="00323237">
        <w:rPr>
          <w:rFonts w:ascii="Maiandra GD" w:hAnsi="Maiandra GD"/>
          <w:sz w:val="24"/>
          <w:szCs w:val="24"/>
        </w:rPr>
        <w:t>infra-structure related segments.</w:t>
      </w:r>
    </w:p>
    <w:p w14:paraId="58A46BC9" w14:textId="48CE2F0C" w:rsidR="00CA1EEA" w:rsidRPr="00323237" w:rsidRDefault="0049702C" w:rsidP="0049702C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>NBFI &amp; Modaraba Association of Pakistan is an authorised representative body of Modarabas, Leasing Companies and Investment Finance Services, licensed</w:t>
      </w:r>
      <w:r w:rsidR="00CA1EEA" w:rsidRPr="00323237">
        <w:rPr>
          <w:rFonts w:ascii="Maiandra GD" w:hAnsi="Maiandra GD"/>
          <w:sz w:val="24"/>
          <w:szCs w:val="24"/>
        </w:rPr>
        <w:t xml:space="preserve"> and regulated </w:t>
      </w:r>
      <w:r w:rsidRPr="00323237">
        <w:rPr>
          <w:rFonts w:ascii="Maiandra GD" w:hAnsi="Maiandra GD"/>
          <w:sz w:val="24"/>
          <w:szCs w:val="24"/>
        </w:rPr>
        <w:t xml:space="preserve"> by SECP</w:t>
      </w:r>
      <w:r w:rsidR="00AE3823" w:rsidRPr="00323237">
        <w:rPr>
          <w:rFonts w:ascii="Maiandra GD" w:hAnsi="Maiandra GD"/>
          <w:sz w:val="24"/>
          <w:szCs w:val="24"/>
        </w:rPr>
        <w:t>. Currently the membership</w:t>
      </w:r>
      <w:r w:rsidRPr="00323237">
        <w:rPr>
          <w:rFonts w:ascii="Maiandra GD" w:hAnsi="Maiandra GD"/>
          <w:sz w:val="24"/>
          <w:szCs w:val="24"/>
        </w:rPr>
        <w:t xml:space="preserve"> of the Association is 3</w:t>
      </w:r>
      <w:r w:rsidR="00CA1EEA" w:rsidRPr="00323237">
        <w:rPr>
          <w:rFonts w:ascii="Maiandra GD" w:hAnsi="Maiandra GD"/>
          <w:sz w:val="24"/>
          <w:szCs w:val="24"/>
        </w:rPr>
        <w:t>9</w:t>
      </w:r>
      <w:r w:rsidRPr="00323237">
        <w:rPr>
          <w:rFonts w:ascii="Maiandra GD" w:hAnsi="Maiandra GD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88"/>
        <w:gridCol w:w="1868"/>
        <w:gridCol w:w="1868"/>
        <w:gridCol w:w="1866"/>
      </w:tblGrid>
      <w:tr w:rsidR="00CA1EEA" w:rsidRPr="00323237" w14:paraId="5C876988" w14:textId="77777777" w:rsidTr="00CA1EEA">
        <w:tc>
          <w:tcPr>
            <w:tcW w:w="1915" w:type="dxa"/>
          </w:tcPr>
          <w:p w14:paraId="7604B5D5" w14:textId="77777777" w:rsidR="00CA1EEA" w:rsidRPr="00323237" w:rsidRDefault="00CA1EEA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DC09E1F" w14:textId="60AC6DEF" w:rsidR="00CA1EEA" w:rsidRPr="00323237" w:rsidRDefault="00CA1EEA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 xml:space="preserve">Modarabas </w:t>
            </w:r>
            <w:r w:rsidR="00835E32" w:rsidRPr="00323237">
              <w:rPr>
                <w:rFonts w:ascii="Maiandra GD" w:hAnsi="Maiandra GD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14:paraId="517EDAE9" w14:textId="6147333E" w:rsidR="00CA1EEA" w:rsidRPr="00323237" w:rsidRDefault="00CA1EEA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Leasing Cos</w:t>
            </w:r>
            <w:r w:rsidR="00835E32" w:rsidRPr="00323237">
              <w:rPr>
                <w:rFonts w:ascii="Maiandra GD" w:hAnsi="Maiandra GD"/>
                <w:sz w:val="24"/>
                <w:szCs w:val="24"/>
              </w:rPr>
              <w:t xml:space="preserve">    08</w:t>
            </w:r>
          </w:p>
        </w:tc>
        <w:tc>
          <w:tcPr>
            <w:tcW w:w="1915" w:type="dxa"/>
          </w:tcPr>
          <w:p w14:paraId="0AA0F9B6" w14:textId="3CFF89F8" w:rsidR="00CA1EEA" w:rsidRPr="00323237" w:rsidRDefault="00CA1EEA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Inv. Fin. Ser</w:t>
            </w:r>
            <w:r w:rsidR="00835E32" w:rsidRPr="00323237">
              <w:rPr>
                <w:rFonts w:ascii="Maiandra GD" w:hAnsi="Maiandra GD"/>
                <w:sz w:val="24"/>
                <w:szCs w:val="24"/>
              </w:rPr>
              <w:t>-04</w:t>
            </w:r>
          </w:p>
        </w:tc>
        <w:tc>
          <w:tcPr>
            <w:tcW w:w="1916" w:type="dxa"/>
          </w:tcPr>
          <w:p w14:paraId="2618816E" w14:textId="77777777" w:rsidR="00835E32" w:rsidRPr="00323237" w:rsidRDefault="00CA1EEA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Total</w:t>
            </w:r>
          </w:p>
          <w:p w14:paraId="5C985F28" w14:textId="74CE36C8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39</w:t>
            </w:r>
          </w:p>
        </w:tc>
      </w:tr>
      <w:tr w:rsidR="00CA1EEA" w:rsidRPr="00323237" w14:paraId="39F501B7" w14:textId="77777777" w:rsidTr="00CA1EEA">
        <w:tc>
          <w:tcPr>
            <w:tcW w:w="1915" w:type="dxa"/>
          </w:tcPr>
          <w:p w14:paraId="51E864BD" w14:textId="3EB23B09" w:rsidR="00CA1EEA" w:rsidRPr="00323237" w:rsidRDefault="00CA1EEA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Tota</w:t>
            </w:r>
            <w:r w:rsidR="00835E32" w:rsidRPr="00323237">
              <w:rPr>
                <w:rFonts w:ascii="Maiandra GD" w:hAnsi="Maiandra GD"/>
                <w:sz w:val="24"/>
                <w:szCs w:val="24"/>
              </w:rPr>
              <w:t>l Assets</w:t>
            </w:r>
          </w:p>
        </w:tc>
        <w:tc>
          <w:tcPr>
            <w:tcW w:w="1915" w:type="dxa"/>
          </w:tcPr>
          <w:p w14:paraId="5B6D9ACC" w14:textId="2435B0FB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51.4</w:t>
            </w:r>
          </w:p>
        </w:tc>
        <w:tc>
          <w:tcPr>
            <w:tcW w:w="1915" w:type="dxa"/>
          </w:tcPr>
          <w:p w14:paraId="16D872C8" w14:textId="4C8E3787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10.8</w:t>
            </w:r>
          </w:p>
        </w:tc>
        <w:tc>
          <w:tcPr>
            <w:tcW w:w="1915" w:type="dxa"/>
          </w:tcPr>
          <w:p w14:paraId="08B82100" w14:textId="4EBE05F7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27.8</w:t>
            </w:r>
          </w:p>
        </w:tc>
        <w:tc>
          <w:tcPr>
            <w:tcW w:w="1916" w:type="dxa"/>
          </w:tcPr>
          <w:p w14:paraId="1AD6B546" w14:textId="78C6C0E9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90,0</w:t>
            </w:r>
          </w:p>
        </w:tc>
      </w:tr>
      <w:tr w:rsidR="00CA1EEA" w:rsidRPr="00323237" w14:paraId="58ED887E" w14:textId="77777777" w:rsidTr="00CA1EEA">
        <w:tc>
          <w:tcPr>
            <w:tcW w:w="1915" w:type="dxa"/>
          </w:tcPr>
          <w:p w14:paraId="074FA7AB" w14:textId="1AB64E92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 xml:space="preserve">Total Equity </w:t>
            </w:r>
          </w:p>
        </w:tc>
        <w:tc>
          <w:tcPr>
            <w:tcW w:w="1915" w:type="dxa"/>
          </w:tcPr>
          <w:p w14:paraId="15E00AF7" w14:textId="4B2E86DA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18.6</w:t>
            </w:r>
          </w:p>
        </w:tc>
        <w:tc>
          <w:tcPr>
            <w:tcW w:w="1915" w:type="dxa"/>
          </w:tcPr>
          <w:p w14:paraId="4F114FEA" w14:textId="754B7BCF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5.4</w:t>
            </w:r>
          </w:p>
        </w:tc>
        <w:tc>
          <w:tcPr>
            <w:tcW w:w="1915" w:type="dxa"/>
          </w:tcPr>
          <w:p w14:paraId="6633A7F6" w14:textId="016128E1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12.2</w:t>
            </w:r>
          </w:p>
        </w:tc>
        <w:tc>
          <w:tcPr>
            <w:tcW w:w="1916" w:type="dxa"/>
          </w:tcPr>
          <w:p w14:paraId="66BF6E0B" w14:textId="7CE83B23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36.2</w:t>
            </w:r>
          </w:p>
        </w:tc>
      </w:tr>
      <w:tr w:rsidR="00CA1EEA" w:rsidRPr="00323237" w14:paraId="421E50AE" w14:textId="77777777" w:rsidTr="00CA1EEA">
        <w:tc>
          <w:tcPr>
            <w:tcW w:w="1915" w:type="dxa"/>
          </w:tcPr>
          <w:p w14:paraId="2B9A2437" w14:textId="3441D94F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Total Profit</w:t>
            </w:r>
          </w:p>
        </w:tc>
        <w:tc>
          <w:tcPr>
            <w:tcW w:w="1915" w:type="dxa"/>
          </w:tcPr>
          <w:p w14:paraId="536C0EAC" w14:textId="12BB594C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(2,045)</w:t>
            </w:r>
          </w:p>
        </w:tc>
        <w:tc>
          <w:tcPr>
            <w:tcW w:w="1915" w:type="dxa"/>
          </w:tcPr>
          <w:p w14:paraId="737BBB44" w14:textId="2E0251D1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128</w:t>
            </w:r>
          </w:p>
        </w:tc>
        <w:tc>
          <w:tcPr>
            <w:tcW w:w="1915" w:type="dxa"/>
          </w:tcPr>
          <w:p w14:paraId="6CCC1749" w14:textId="76A0F89A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779</w:t>
            </w:r>
          </w:p>
        </w:tc>
        <w:tc>
          <w:tcPr>
            <w:tcW w:w="1916" w:type="dxa"/>
          </w:tcPr>
          <w:p w14:paraId="6CA647D3" w14:textId="5B707BF5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(1,138*</w:t>
            </w:r>
          </w:p>
        </w:tc>
      </w:tr>
      <w:tr w:rsidR="00CA1EEA" w:rsidRPr="00323237" w14:paraId="16BE691C" w14:textId="77777777" w:rsidTr="00CA1EEA">
        <w:tc>
          <w:tcPr>
            <w:tcW w:w="1915" w:type="dxa"/>
          </w:tcPr>
          <w:p w14:paraId="2009F3C3" w14:textId="5157A4B5" w:rsidR="00CA1EEA" w:rsidRPr="00323237" w:rsidRDefault="00CA1EEA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8D93D6F" w14:textId="46841185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 xml:space="preserve">Financial Mo </w:t>
            </w:r>
          </w:p>
        </w:tc>
        <w:tc>
          <w:tcPr>
            <w:tcW w:w="1915" w:type="dxa"/>
          </w:tcPr>
          <w:p w14:paraId="01168AA5" w14:textId="0340E857" w:rsidR="00CA1EEA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969</w:t>
            </w:r>
          </w:p>
        </w:tc>
        <w:tc>
          <w:tcPr>
            <w:tcW w:w="1915" w:type="dxa"/>
          </w:tcPr>
          <w:p w14:paraId="58D17BB6" w14:textId="77777777" w:rsidR="00CA1EEA" w:rsidRPr="00323237" w:rsidRDefault="00CA1EEA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783CF8E" w14:textId="77777777" w:rsidR="00CA1EEA" w:rsidRPr="00323237" w:rsidRDefault="00CA1EEA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35E32" w:rsidRPr="00323237" w14:paraId="226E6160" w14:textId="77777777" w:rsidTr="00835E32">
        <w:tc>
          <w:tcPr>
            <w:tcW w:w="1915" w:type="dxa"/>
          </w:tcPr>
          <w:p w14:paraId="6AA86B7A" w14:textId="77777777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A300B46" w14:textId="397B33EE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Trading Mod</w:t>
            </w:r>
          </w:p>
        </w:tc>
        <w:tc>
          <w:tcPr>
            <w:tcW w:w="1915" w:type="dxa"/>
          </w:tcPr>
          <w:p w14:paraId="002D621D" w14:textId="7AA1FF95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14:paraId="6819924D" w14:textId="77777777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80E94C7" w14:textId="77777777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35E32" w:rsidRPr="00323237" w14:paraId="6669BD23" w14:textId="77777777" w:rsidTr="00835E32">
        <w:tc>
          <w:tcPr>
            <w:tcW w:w="1915" w:type="dxa"/>
          </w:tcPr>
          <w:p w14:paraId="7F9A537F" w14:textId="77777777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E82351B" w14:textId="79636A23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Manuf. Mod</w:t>
            </w:r>
          </w:p>
        </w:tc>
        <w:tc>
          <w:tcPr>
            <w:tcW w:w="1915" w:type="dxa"/>
          </w:tcPr>
          <w:p w14:paraId="443C4452" w14:textId="0D7049D1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(3,045)</w:t>
            </w:r>
          </w:p>
        </w:tc>
        <w:tc>
          <w:tcPr>
            <w:tcW w:w="1915" w:type="dxa"/>
          </w:tcPr>
          <w:p w14:paraId="5715CCC3" w14:textId="64C30D0D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  <w:r w:rsidRPr="00323237">
              <w:rPr>
                <w:rFonts w:ascii="Maiandra GD" w:hAnsi="Maiandra GD"/>
                <w:sz w:val="24"/>
                <w:szCs w:val="24"/>
              </w:rPr>
              <w:t>Net  (2,045)</w:t>
            </w:r>
          </w:p>
        </w:tc>
        <w:tc>
          <w:tcPr>
            <w:tcW w:w="1916" w:type="dxa"/>
          </w:tcPr>
          <w:p w14:paraId="7A5D3FE9" w14:textId="77777777" w:rsidR="00835E32" w:rsidRPr="00323237" w:rsidRDefault="00835E32" w:rsidP="0049702C">
            <w:pPr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9FC0FC5" w14:textId="5C4867D4" w:rsidR="001720B5" w:rsidRPr="00323237" w:rsidRDefault="001720B5" w:rsidP="001720B5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lastRenderedPageBreak/>
        <w:t>Core objecti</w:t>
      </w:r>
      <w:r w:rsidR="001B0FC1" w:rsidRPr="00323237">
        <w:rPr>
          <w:rFonts w:ascii="Maiandra GD" w:hAnsi="Maiandra GD"/>
          <w:sz w:val="24"/>
          <w:szCs w:val="24"/>
        </w:rPr>
        <w:t xml:space="preserve">ves of the Association include </w:t>
      </w:r>
      <w:r w:rsidRPr="00323237">
        <w:rPr>
          <w:rFonts w:ascii="Maiandra GD" w:hAnsi="Maiandra GD"/>
          <w:sz w:val="24"/>
          <w:szCs w:val="24"/>
        </w:rPr>
        <w:t>enhancement of  professional competence of the members through workshops, seminars and interactive session</w:t>
      </w:r>
      <w:r w:rsidR="00835E32" w:rsidRPr="00323237">
        <w:rPr>
          <w:rFonts w:ascii="Maiandra GD" w:hAnsi="Maiandra GD"/>
          <w:sz w:val="24"/>
          <w:szCs w:val="24"/>
        </w:rPr>
        <w:t>s</w:t>
      </w:r>
      <w:r w:rsidRPr="00323237">
        <w:rPr>
          <w:rFonts w:ascii="Maiandra GD" w:hAnsi="Maiandra GD"/>
          <w:sz w:val="24"/>
          <w:szCs w:val="24"/>
        </w:rPr>
        <w:t xml:space="preserve"> and also to provide awareness to the stakeholders and general public.</w:t>
      </w:r>
    </w:p>
    <w:p w14:paraId="45F5C239" w14:textId="401E65B7" w:rsidR="001720B5" w:rsidRPr="00323237" w:rsidRDefault="001720B5" w:rsidP="001720B5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> In order to promote an overall awareness of the sector, the Association has been t</w:t>
      </w:r>
      <w:r w:rsidR="00C00624" w:rsidRPr="00323237">
        <w:rPr>
          <w:rFonts w:ascii="Maiandra GD" w:hAnsi="Maiandra GD"/>
          <w:sz w:val="24"/>
          <w:szCs w:val="24"/>
        </w:rPr>
        <w:t xml:space="preserve">aking various measures like </w:t>
      </w:r>
      <w:r w:rsidRPr="00323237">
        <w:rPr>
          <w:rFonts w:ascii="Maiandra GD" w:hAnsi="Maiandra GD"/>
          <w:sz w:val="24"/>
          <w:szCs w:val="24"/>
        </w:rPr>
        <w:t xml:space="preserve"> publishing </w:t>
      </w:r>
      <w:r w:rsidR="00192796" w:rsidRPr="00323237">
        <w:rPr>
          <w:rFonts w:ascii="Maiandra GD" w:hAnsi="Maiandra GD"/>
          <w:sz w:val="24"/>
          <w:szCs w:val="24"/>
        </w:rPr>
        <w:t>its</w:t>
      </w:r>
      <w:r w:rsidRPr="00323237">
        <w:rPr>
          <w:rFonts w:ascii="Maiandra GD" w:hAnsi="Maiandra GD"/>
          <w:sz w:val="24"/>
          <w:szCs w:val="24"/>
        </w:rPr>
        <w:t xml:space="preserve"> Year Book which contains activities of the sector and performance of the individual members </w:t>
      </w:r>
      <w:r w:rsidR="00192796" w:rsidRPr="00323237">
        <w:rPr>
          <w:rFonts w:ascii="Maiandra GD" w:hAnsi="Maiandra GD"/>
          <w:sz w:val="24"/>
          <w:szCs w:val="24"/>
        </w:rPr>
        <w:t xml:space="preserve">during the year </w:t>
      </w:r>
      <w:r w:rsidRPr="00323237">
        <w:rPr>
          <w:rFonts w:ascii="Maiandra GD" w:hAnsi="Maiandra GD"/>
          <w:sz w:val="24"/>
          <w:szCs w:val="24"/>
        </w:rPr>
        <w:t>as well as collective results of the whole sector.</w:t>
      </w:r>
    </w:p>
    <w:p w14:paraId="0028CD64" w14:textId="03EEAC86" w:rsidR="001720B5" w:rsidRPr="00323237" w:rsidRDefault="001720B5" w:rsidP="001720B5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> </w:t>
      </w:r>
      <w:r w:rsidR="002B6CCD" w:rsidRPr="00323237">
        <w:rPr>
          <w:rFonts w:ascii="Maiandra GD" w:hAnsi="Maiandra GD"/>
          <w:sz w:val="24"/>
          <w:szCs w:val="24"/>
        </w:rPr>
        <w:t>The</w:t>
      </w:r>
      <w:r w:rsidRPr="00323237">
        <w:rPr>
          <w:rFonts w:ascii="Maiandra GD" w:hAnsi="Maiandra GD"/>
          <w:sz w:val="24"/>
          <w:szCs w:val="24"/>
        </w:rPr>
        <w:t xml:space="preserve"> Association has signed</w:t>
      </w:r>
      <w:r w:rsidR="002B6CCD" w:rsidRPr="00323237">
        <w:rPr>
          <w:rFonts w:ascii="Maiandra GD" w:hAnsi="Maiandra GD"/>
          <w:sz w:val="24"/>
          <w:szCs w:val="24"/>
        </w:rPr>
        <w:t xml:space="preserve"> arrangemenrs </w:t>
      </w:r>
      <w:r w:rsidRPr="00323237">
        <w:rPr>
          <w:rFonts w:ascii="Maiandra GD" w:hAnsi="Maiandra GD"/>
          <w:sz w:val="24"/>
          <w:szCs w:val="24"/>
        </w:rPr>
        <w:t xml:space="preserve"> </w:t>
      </w:r>
      <w:r w:rsidR="00192796" w:rsidRPr="00323237">
        <w:rPr>
          <w:rFonts w:ascii="Maiandra GD" w:hAnsi="Maiandra GD"/>
          <w:sz w:val="24"/>
          <w:szCs w:val="24"/>
        </w:rPr>
        <w:t xml:space="preserve">for this purpose </w:t>
      </w:r>
      <w:r w:rsidRPr="00323237">
        <w:rPr>
          <w:rFonts w:ascii="Maiandra GD" w:hAnsi="Maiandra GD"/>
          <w:sz w:val="24"/>
          <w:szCs w:val="24"/>
        </w:rPr>
        <w:t>with</w:t>
      </w:r>
      <w:r w:rsidR="002B6CCD" w:rsidRPr="00323237">
        <w:rPr>
          <w:rFonts w:ascii="Maiandra GD" w:hAnsi="Maiandra GD"/>
          <w:sz w:val="24"/>
          <w:szCs w:val="24"/>
        </w:rPr>
        <w:t xml:space="preserve"> Center of Excellence in Islamic Finance  of </w:t>
      </w:r>
      <w:r w:rsidRPr="00323237">
        <w:rPr>
          <w:rFonts w:ascii="Maiandra GD" w:hAnsi="Maiandra GD"/>
          <w:sz w:val="24"/>
          <w:szCs w:val="24"/>
        </w:rPr>
        <w:t xml:space="preserve"> </w:t>
      </w:r>
      <w:r w:rsidR="002B6CCD" w:rsidRPr="00323237">
        <w:rPr>
          <w:rFonts w:ascii="Maiandra GD" w:hAnsi="Maiandra GD"/>
          <w:sz w:val="24"/>
          <w:szCs w:val="24"/>
        </w:rPr>
        <w:t>IBA</w:t>
      </w:r>
      <w:r w:rsidR="00192796" w:rsidRPr="00323237">
        <w:rPr>
          <w:rFonts w:ascii="Maiandra GD" w:hAnsi="Maiandra GD"/>
          <w:sz w:val="24"/>
          <w:szCs w:val="24"/>
        </w:rPr>
        <w:t xml:space="preserve"> </w:t>
      </w:r>
      <w:r w:rsidR="002B6CCD" w:rsidRPr="00323237">
        <w:rPr>
          <w:rFonts w:ascii="Maiandra GD" w:hAnsi="Maiandra GD"/>
          <w:sz w:val="24"/>
          <w:szCs w:val="24"/>
        </w:rPr>
        <w:t xml:space="preserve">and  Institute of Management and Accounting </w:t>
      </w:r>
      <w:r w:rsidRPr="00323237">
        <w:rPr>
          <w:rFonts w:ascii="Maiandra GD" w:hAnsi="Maiandra GD"/>
          <w:sz w:val="24"/>
          <w:szCs w:val="24"/>
        </w:rPr>
        <w:t xml:space="preserve"> </w:t>
      </w:r>
      <w:r w:rsidR="002B6CCD" w:rsidRPr="00323237">
        <w:rPr>
          <w:rFonts w:ascii="Maiandra GD" w:hAnsi="Maiandra GD"/>
          <w:sz w:val="24"/>
          <w:szCs w:val="24"/>
        </w:rPr>
        <w:t>(</w:t>
      </w:r>
      <w:r w:rsidRPr="00323237">
        <w:rPr>
          <w:rFonts w:ascii="Maiandra GD" w:hAnsi="Maiandra GD"/>
          <w:sz w:val="24"/>
          <w:szCs w:val="24"/>
        </w:rPr>
        <w:t>ICMAP</w:t>
      </w:r>
      <w:r w:rsidR="002B6CCD" w:rsidRPr="00323237">
        <w:rPr>
          <w:rFonts w:ascii="Maiandra GD" w:hAnsi="Maiandra GD"/>
          <w:sz w:val="24"/>
          <w:szCs w:val="24"/>
        </w:rPr>
        <w:t>)</w:t>
      </w:r>
      <w:r w:rsidRPr="00323237">
        <w:rPr>
          <w:rFonts w:ascii="Maiandra GD" w:hAnsi="Maiandra GD"/>
          <w:sz w:val="24"/>
          <w:szCs w:val="24"/>
        </w:rPr>
        <w:t>, and contin</w:t>
      </w:r>
      <w:r w:rsidR="00192796" w:rsidRPr="00323237">
        <w:rPr>
          <w:rFonts w:ascii="Maiandra GD" w:hAnsi="Maiandra GD"/>
          <w:sz w:val="24"/>
          <w:szCs w:val="24"/>
        </w:rPr>
        <w:t xml:space="preserve">ues </w:t>
      </w:r>
      <w:r w:rsidRPr="00323237">
        <w:rPr>
          <w:rFonts w:ascii="Maiandra GD" w:hAnsi="Maiandra GD"/>
          <w:sz w:val="24"/>
          <w:szCs w:val="24"/>
        </w:rPr>
        <w:t xml:space="preserve"> its efforts to enhance its interaction with other academia like I</w:t>
      </w:r>
      <w:r w:rsidR="002B6CCD" w:rsidRPr="00323237">
        <w:rPr>
          <w:rFonts w:ascii="Maiandra GD" w:hAnsi="Maiandra GD"/>
          <w:sz w:val="24"/>
          <w:szCs w:val="24"/>
        </w:rPr>
        <w:t>nstitute of Business Mananagement (I0BM)</w:t>
      </w:r>
      <w:r w:rsidRPr="00323237">
        <w:rPr>
          <w:rFonts w:ascii="Maiandra GD" w:hAnsi="Maiandra GD"/>
          <w:sz w:val="24"/>
          <w:szCs w:val="24"/>
        </w:rPr>
        <w:t>, I</w:t>
      </w:r>
      <w:r w:rsidR="002B6CCD" w:rsidRPr="00323237">
        <w:rPr>
          <w:rFonts w:ascii="Maiandra GD" w:hAnsi="Maiandra GD"/>
          <w:sz w:val="24"/>
          <w:szCs w:val="24"/>
        </w:rPr>
        <w:t>ntstitute of Chartered Accountants(I</w:t>
      </w:r>
      <w:r w:rsidRPr="00323237">
        <w:rPr>
          <w:rFonts w:ascii="Maiandra GD" w:hAnsi="Maiandra GD"/>
          <w:sz w:val="24"/>
          <w:szCs w:val="24"/>
        </w:rPr>
        <w:t>CAP</w:t>
      </w:r>
      <w:r w:rsidR="002B6CCD" w:rsidRPr="00323237">
        <w:rPr>
          <w:rFonts w:ascii="Maiandra GD" w:hAnsi="Maiandra GD"/>
          <w:sz w:val="24"/>
          <w:szCs w:val="24"/>
        </w:rPr>
        <w:t>)</w:t>
      </w:r>
      <w:r w:rsidRPr="00323237">
        <w:rPr>
          <w:rFonts w:ascii="Maiandra GD" w:hAnsi="Maiandra GD"/>
          <w:sz w:val="24"/>
          <w:szCs w:val="24"/>
        </w:rPr>
        <w:t xml:space="preserve"> </w:t>
      </w:r>
      <w:r w:rsidR="00192796" w:rsidRPr="00323237">
        <w:rPr>
          <w:rFonts w:ascii="Maiandra GD" w:hAnsi="Maiandra GD"/>
          <w:sz w:val="24"/>
          <w:szCs w:val="24"/>
        </w:rPr>
        <w:t xml:space="preserve">, </w:t>
      </w:r>
      <w:r w:rsidR="00CD79B7" w:rsidRPr="00323237">
        <w:rPr>
          <w:rFonts w:ascii="Maiandra GD" w:hAnsi="Maiandra GD"/>
          <w:sz w:val="24"/>
          <w:szCs w:val="24"/>
        </w:rPr>
        <w:t>P</w:t>
      </w:r>
      <w:r w:rsidR="00192796" w:rsidRPr="00323237">
        <w:rPr>
          <w:rFonts w:ascii="Maiandra GD" w:hAnsi="Maiandra GD"/>
          <w:sz w:val="24"/>
          <w:szCs w:val="24"/>
        </w:rPr>
        <w:t>akistan i</w:t>
      </w:r>
      <w:r w:rsidR="00CD79B7" w:rsidRPr="00323237">
        <w:rPr>
          <w:rFonts w:ascii="Maiandra GD" w:hAnsi="Maiandra GD"/>
          <w:sz w:val="24"/>
          <w:szCs w:val="24"/>
        </w:rPr>
        <w:t>n</w:t>
      </w:r>
      <w:r w:rsidR="00192796" w:rsidRPr="00323237">
        <w:rPr>
          <w:rFonts w:ascii="Maiandra GD" w:hAnsi="Maiandra GD"/>
          <w:sz w:val="24"/>
          <w:szCs w:val="24"/>
        </w:rPr>
        <w:t>stit</w:t>
      </w:r>
      <w:r w:rsidR="00CD79B7" w:rsidRPr="00323237">
        <w:rPr>
          <w:rFonts w:ascii="Maiandra GD" w:hAnsi="Maiandra GD"/>
          <w:sz w:val="24"/>
          <w:szCs w:val="24"/>
        </w:rPr>
        <w:t>u</w:t>
      </w:r>
      <w:r w:rsidR="00192796" w:rsidRPr="00323237">
        <w:rPr>
          <w:rFonts w:ascii="Maiandra GD" w:hAnsi="Maiandra GD"/>
          <w:sz w:val="24"/>
          <w:szCs w:val="24"/>
        </w:rPr>
        <w:t xml:space="preserve">te opf Capital Markets </w:t>
      </w:r>
      <w:r w:rsidRPr="00323237">
        <w:rPr>
          <w:rFonts w:ascii="Maiandra GD" w:hAnsi="Maiandra GD"/>
          <w:sz w:val="24"/>
          <w:szCs w:val="24"/>
        </w:rPr>
        <w:t>and other institutions. </w:t>
      </w:r>
    </w:p>
    <w:p w14:paraId="385C3026" w14:textId="70718ACA" w:rsidR="001720B5" w:rsidRPr="00323237" w:rsidRDefault="001720B5" w:rsidP="001720B5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>The Association has also developed interaction with FPCCI, KCCI and KATI</w:t>
      </w:r>
      <w:r w:rsidR="002B6CCD" w:rsidRPr="00323237">
        <w:rPr>
          <w:rFonts w:ascii="Maiandra GD" w:hAnsi="Maiandra GD"/>
          <w:sz w:val="24"/>
          <w:szCs w:val="24"/>
        </w:rPr>
        <w:t xml:space="preserve"> (Korangi Association 0f Tade and Industry)</w:t>
      </w:r>
      <w:r w:rsidRPr="00323237">
        <w:rPr>
          <w:rFonts w:ascii="Maiandra GD" w:hAnsi="Maiandra GD"/>
          <w:sz w:val="24"/>
          <w:szCs w:val="24"/>
        </w:rPr>
        <w:t xml:space="preserve">  to arrange awareness sessions. SECP has also been requested to support</w:t>
      </w:r>
      <w:r w:rsidR="00CD79B7" w:rsidRPr="00323237">
        <w:rPr>
          <w:rFonts w:ascii="Maiandra GD" w:hAnsi="Maiandra GD"/>
          <w:sz w:val="24"/>
          <w:szCs w:val="24"/>
        </w:rPr>
        <w:t xml:space="preserve"> </w:t>
      </w:r>
      <w:r w:rsidRPr="00323237">
        <w:rPr>
          <w:rFonts w:ascii="Maiandra GD" w:hAnsi="Maiandra GD"/>
          <w:sz w:val="24"/>
          <w:szCs w:val="24"/>
        </w:rPr>
        <w:t xml:space="preserve">the Association for arranging </w:t>
      </w:r>
      <w:r w:rsidR="00CD79B7" w:rsidRPr="00323237">
        <w:rPr>
          <w:rFonts w:ascii="Maiandra GD" w:hAnsi="Maiandra GD"/>
          <w:sz w:val="24"/>
          <w:szCs w:val="24"/>
        </w:rPr>
        <w:t xml:space="preserve">and coordinating </w:t>
      </w:r>
      <w:r w:rsidRPr="00323237">
        <w:rPr>
          <w:rFonts w:ascii="Maiandra GD" w:hAnsi="Maiandra GD"/>
          <w:sz w:val="24"/>
          <w:szCs w:val="24"/>
        </w:rPr>
        <w:t>awareness sessions throughout the country.</w:t>
      </w:r>
    </w:p>
    <w:p w14:paraId="43AFEBD6" w14:textId="68DCC188" w:rsidR="001720B5" w:rsidRPr="00323237" w:rsidRDefault="001720B5" w:rsidP="001720B5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 xml:space="preserve">The need for  a detailed report on </w:t>
      </w:r>
      <w:r w:rsidR="00C00624" w:rsidRPr="00323237">
        <w:rPr>
          <w:rFonts w:ascii="Maiandra GD" w:hAnsi="Maiandra GD"/>
          <w:sz w:val="24"/>
          <w:szCs w:val="24"/>
        </w:rPr>
        <w:t xml:space="preserve">NBFI &amp; Modaraba Sector </w:t>
      </w:r>
      <w:r w:rsidR="00CD79B7" w:rsidRPr="00323237">
        <w:rPr>
          <w:rFonts w:ascii="Maiandra GD" w:hAnsi="Maiandra GD"/>
          <w:sz w:val="24"/>
          <w:szCs w:val="24"/>
        </w:rPr>
        <w:t xml:space="preserve"> was felt for quite some time and </w:t>
      </w:r>
      <w:r w:rsidR="00C00624" w:rsidRPr="00323237">
        <w:rPr>
          <w:rFonts w:ascii="Maiandra GD" w:hAnsi="Maiandra GD"/>
          <w:sz w:val="24"/>
          <w:szCs w:val="24"/>
        </w:rPr>
        <w:t xml:space="preserve"> encouraged </w:t>
      </w:r>
      <w:r w:rsidRPr="00323237">
        <w:rPr>
          <w:rFonts w:ascii="Maiandra GD" w:hAnsi="Maiandra GD"/>
          <w:sz w:val="24"/>
          <w:szCs w:val="24"/>
        </w:rPr>
        <w:t xml:space="preserve"> the Association  to prepare a Country Report on the  Sector. It was initiated  by Mr. Raheel Q</w:t>
      </w:r>
      <w:r w:rsidR="00CD79B7" w:rsidRPr="00323237">
        <w:rPr>
          <w:rFonts w:ascii="Maiandra GD" w:hAnsi="Maiandra GD"/>
          <w:sz w:val="24"/>
          <w:szCs w:val="24"/>
        </w:rPr>
        <w:t xml:space="preserve">amar </w:t>
      </w:r>
      <w:r w:rsidRPr="00323237">
        <w:rPr>
          <w:rFonts w:ascii="Maiandra GD" w:hAnsi="Maiandra GD"/>
          <w:sz w:val="24"/>
          <w:szCs w:val="24"/>
        </w:rPr>
        <w:t xml:space="preserve"> Ahmad, CEO, ORIX Modaraba and former Chairman of the Associat</w:t>
      </w:r>
      <w:r w:rsidR="002B6CCD" w:rsidRPr="00323237">
        <w:rPr>
          <w:rFonts w:ascii="Maiandra GD" w:hAnsi="Maiandra GD"/>
          <w:sz w:val="24"/>
          <w:szCs w:val="24"/>
        </w:rPr>
        <w:t xml:space="preserve">ion. </w:t>
      </w:r>
      <w:r w:rsidRPr="00323237">
        <w:rPr>
          <w:rFonts w:ascii="Maiandra GD" w:hAnsi="Maiandra GD"/>
          <w:sz w:val="24"/>
          <w:szCs w:val="24"/>
        </w:rPr>
        <w:t xml:space="preserve"> Consequently the task was assigned to IBA-CEIF to compile the report in collaboration with the Association. The project was delayed due to the spread o</w:t>
      </w:r>
      <w:r w:rsidR="00C00624" w:rsidRPr="00323237">
        <w:rPr>
          <w:rFonts w:ascii="Maiandra GD" w:hAnsi="Maiandra GD"/>
          <w:sz w:val="24"/>
          <w:szCs w:val="24"/>
        </w:rPr>
        <w:t>f COVID Pandemic in the country but we are priveledged to present the Report to you today.</w:t>
      </w:r>
    </w:p>
    <w:p w14:paraId="77F96654" w14:textId="77777777" w:rsidR="00CD79B7" w:rsidRPr="00323237" w:rsidRDefault="00CD79B7" w:rsidP="001720B5">
      <w:pPr>
        <w:jc w:val="both"/>
        <w:rPr>
          <w:rFonts w:ascii="Maiandra GD" w:hAnsi="Maiandra GD"/>
          <w:sz w:val="24"/>
          <w:szCs w:val="24"/>
        </w:rPr>
      </w:pPr>
    </w:p>
    <w:p w14:paraId="4EF74449" w14:textId="77777777" w:rsidR="001720B5" w:rsidRPr="00323237" w:rsidRDefault="001720B5" w:rsidP="001720B5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>Efforts have been made to include in the repo</w:t>
      </w:r>
      <w:r w:rsidR="00C00624" w:rsidRPr="00323237">
        <w:rPr>
          <w:rFonts w:ascii="Maiandra GD" w:hAnsi="Maiandra GD"/>
          <w:sz w:val="24"/>
          <w:szCs w:val="24"/>
        </w:rPr>
        <w:t xml:space="preserve">rt various aspects of the Non-banking and </w:t>
      </w:r>
      <w:r w:rsidRPr="00323237">
        <w:rPr>
          <w:rFonts w:ascii="Maiandra GD" w:hAnsi="Maiandra GD"/>
          <w:sz w:val="24"/>
          <w:szCs w:val="24"/>
        </w:rPr>
        <w:t xml:space="preserve"> Modaraba Sector encompassing its evolution, growth, structure, performance, shariah compliance and regulator</w:t>
      </w:r>
      <w:r w:rsidR="00C00624" w:rsidRPr="00323237">
        <w:rPr>
          <w:rFonts w:ascii="Maiandra GD" w:hAnsi="Maiandra GD"/>
          <w:sz w:val="24"/>
          <w:szCs w:val="24"/>
        </w:rPr>
        <w:t xml:space="preserve">y framework. It is hoped that the book </w:t>
      </w:r>
      <w:r w:rsidRPr="00323237">
        <w:rPr>
          <w:rFonts w:ascii="Maiandra GD" w:hAnsi="Maiandra GD"/>
          <w:sz w:val="24"/>
          <w:szCs w:val="24"/>
        </w:rPr>
        <w:t xml:space="preserve"> will provide a comprehensive coverage of the sector for readers.</w:t>
      </w:r>
    </w:p>
    <w:p w14:paraId="7F0392A9" w14:textId="77777777" w:rsidR="001720B5" w:rsidRPr="00323237" w:rsidRDefault="001720B5" w:rsidP="001720B5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> </w:t>
      </w:r>
    </w:p>
    <w:p w14:paraId="39680233" w14:textId="1989E049" w:rsidR="00CD79B7" w:rsidRPr="00323237" w:rsidRDefault="001720B5" w:rsidP="001720B5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>We are indeed thankful to Prof. Dr. Ishrat Husain, Advisor to PM for Institutional Reforms &amp; Austerity and the Chairman, IBA-CEIF, Karachi</w:t>
      </w:r>
      <w:r w:rsidR="007A138E" w:rsidRPr="00323237">
        <w:rPr>
          <w:rFonts w:ascii="Maiandra GD" w:hAnsi="Maiandra GD"/>
          <w:sz w:val="24"/>
          <w:szCs w:val="24"/>
        </w:rPr>
        <w:t>,</w:t>
      </w:r>
      <w:r w:rsidR="00CD79B7" w:rsidRPr="00323237">
        <w:rPr>
          <w:rFonts w:ascii="Maiandra GD" w:hAnsi="Maiandra GD"/>
          <w:sz w:val="24"/>
          <w:szCs w:val="24"/>
        </w:rPr>
        <w:t xml:space="preserve"> M</w:t>
      </w:r>
      <w:r w:rsidR="007A138E" w:rsidRPr="00323237">
        <w:rPr>
          <w:rFonts w:ascii="Maiandra GD" w:hAnsi="Maiandra GD"/>
          <w:sz w:val="24"/>
          <w:szCs w:val="24"/>
        </w:rPr>
        <w:t xml:space="preserve">r Farrukh Sabzwari Commissioner SECP, </w:t>
      </w:r>
      <w:r w:rsidRPr="00323237">
        <w:rPr>
          <w:rFonts w:ascii="Maiandra GD" w:hAnsi="Maiandra GD"/>
          <w:sz w:val="24"/>
          <w:szCs w:val="24"/>
        </w:rPr>
        <w:t>Ms. Bushra Aslam, Executive Director and Registrar Modaraba, SECP</w:t>
      </w:r>
      <w:r w:rsidR="007A138E" w:rsidRPr="00323237">
        <w:rPr>
          <w:rFonts w:ascii="Maiandra GD" w:hAnsi="Maiandra GD"/>
          <w:sz w:val="24"/>
          <w:szCs w:val="24"/>
        </w:rPr>
        <w:t xml:space="preserve">, Dr Akbar Zaidi  , Mr Ahmed Ali Siddiqui  of IBA and their collagues </w:t>
      </w:r>
      <w:r w:rsidRPr="00323237">
        <w:rPr>
          <w:rFonts w:ascii="Maiandra GD" w:hAnsi="Maiandra GD"/>
          <w:sz w:val="24"/>
          <w:szCs w:val="24"/>
        </w:rPr>
        <w:t xml:space="preserve"> for their continuous guidance and encouragement in compilation of the report.</w:t>
      </w:r>
    </w:p>
    <w:p w14:paraId="1CD3FC90" w14:textId="77777777" w:rsidR="007A138E" w:rsidRPr="00323237" w:rsidRDefault="007A138E" w:rsidP="001720B5">
      <w:pPr>
        <w:jc w:val="both"/>
        <w:rPr>
          <w:rFonts w:ascii="Maiandra GD" w:hAnsi="Maiandra GD"/>
          <w:sz w:val="24"/>
          <w:szCs w:val="24"/>
        </w:rPr>
      </w:pPr>
    </w:p>
    <w:p w14:paraId="730AC78D" w14:textId="5C7BC0E8" w:rsidR="001720B5" w:rsidRPr="00323237" w:rsidRDefault="001720B5" w:rsidP="001720B5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 xml:space="preserve">We are also thankful to our senior colleagues who contributed their valuable thoughts in their interviews which form a very useful </w:t>
      </w:r>
      <w:r w:rsidR="001B0FC1" w:rsidRPr="00323237">
        <w:rPr>
          <w:rFonts w:ascii="Maiandra GD" w:hAnsi="Maiandra GD"/>
          <w:sz w:val="24"/>
          <w:szCs w:val="24"/>
        </w:rPr>
        <w:t xml:space="preserve">component of the report. We </w:t>
      </w:r>
      <w:r w:rsidRPr="00323237">
        <w:rPr>
          <w:rFonts w:ascii="Maiandra GD" w:hAnsi="Maiandra GD"/>
          <w:sz w:val="24"/>
          <w:szCs w:val="24"/>
        </w:rPr>
        <w:t>place on record</w:t>
      </w:r>
      <w:r w:rsidR="00CD79B7" w:rsidRPr="00323237">
        <w:rPr>
          <w:rFonts w:ascii="Maiandra GD" w:hAnsi="Maiandra GD"/>
          <w:sz w:val="24"/>
          <w:szCs w:val="24"/>
        </w:rPr>
        <w:t xml:space="preserve"> </w:t>
      </w:r>
      <w:r w:rsidRPr="00323237">
        <w:rPr>
          <w:rFonts w:ascii="Maiandra GD" w:hAnsi="Maiandra GD"/>
          <w:sz w:val="24"/>
          <w:szCs w:val="24"/>
        </w:rPr>
        <w:lastRenderedPageBreak/>
        <w:t>with gratitude, our acknowledgement</w:t>
      </w:r>
      <w:r w:rsidR="007A138E" w:rsidRPr="00323237">
        <w:rPr>
          <w:rFonts w:ascii="Maiandra GD" w:hAnsi="Maiandra GD"/>
          <w:sz w:val="24"/>
          <w:szCs w:val="24"/>
        </w:rPr>
        <w:t xml:space="preserve"> and appreciation </w:t>
      </w:r>
      <w:r w:rsidRPr="00323237">
        <w:rPr>
          <w:rFonts w:ascii="Maiandra GD" w:hAnsi="Maiandra GD"/>
          <w:sz w:val="24"/>
          <w:szCs w:val="24"/>
        </w:rPr>
        <w:t xml:space="preserve"> of the concerted efforts made by Dr. Irum Saba, Assistant Professor, IBA-CEIF as the Coordinator of this project and Mr. Muhammad Samiullah, Secretary General of the Association for compilation and completion of this report.</w:t>
      </w:r>
    </w:p>
    <w:p w14:paraId="12A47C78" w14:textId="77777777" w:rsidR="00CD79B7" w:rsidRPr="00323237" w:rsidRDefault="00CD79B7" w:rsidP="001720B5">
      <w:pPr>
        <w:jc w:val="both"/>
        <w:rPr>
          <w:rFonts w:ascii="Maiandra GD" w:hAnsi="Maiandra GD"/>
          <w:sz w:val="24"/>
          <w:szCs w:val="24"/>
        </w:rPr>
      </w:pPr>
    </w:p>
    <w:p w14:paraId="1A7973B5" w14:textId="0FC39019" w:rsidR="00CD79B7" w:rsidRPr="00323237" w:rsidRDefault="00CD79B7" w:rsidP="00CD79B7">
      <w:pPr>
        <w:jc w:val="both"/>
        <w:rPr>
          <w:rFonts w:ascii="Maiandra GD" w:hAnsi="Maiandra GD"/>
          <w:sz w:val="24"/>
          <w:szCs w:val="24"/>
        </w:rPr>
      </w:pPr>
      <w:r w:rsidRPr="00323237">
        <w:rPr>
          <w:rFonts w:ascii="Maiandra GD" w:hAnsi="Maiandra GD"/>
          <w:sz w:val="24"/>
          <w:szCs w:val="24"/>
        </w:rPr>
        <w:t xml:space="preserve">Ladies and gentlement, </w:t>
      </w:r>
      <w:r w:rsidRPr="00323237">
        <w:rPr>
          <w:rFonts w:ascii="Maiandra GD" w:hAnsi="Maiandra GD"/>
          <w:sz w:val="24"/>
          <w:szCs w:val="24"/>
        </w:rPr>
        <w:t xml:space="preserve">I </w:t>
      </w:r>
      <w:r w:rsidRPr="00323237">
        <w:rPr>
          <w:rFonts w:ascii="Maiandra GD" w:hAnsi="Maiandra GD"/>
          <w:sz w:val="24"/>
          <w:szCs w:val="24"/>
        </w:rPr>
        <w:t>thank you again for your kind particpation.</w:t>
      </w:r>
    </w:p>
    <w:p w14:paraId="0DE41DAB" w14:textId="0352D495" w:rsidR="00CD79B7" w:rsidRPr="00323237" w:rsidRDefault="00CD79B7" w:rsidP="001720B5">
      <w:pPr>
        <w:jc w:val="both"/>
        <w:rPr>
          <w:rFonts w:ascii="Maiandra GD" w:hAnsi="Maiandra GD"/>
          <w:sz w:val="24"/>
          <w:szCs w:val="24"/>
        </w:rPr>
      </w:pPr>
    </w:p>
    <w:p w14:paraId="1BB21918" w14:textId="77777777" w:rsidR="00CD79B7" w:rsidRPr="00323237" w:rsidRDefault="00CD79B7" w:rsidP="001720B5">
      <w:pPr>
        <w:jc w:val="both"/>
        <w:rPr>
          <w:rFonts w:ascii="Maiandra GD" w:hAnsi="Maiandra GD"/>
          <w:sz w:val="24"/>
          <w:szCs w:val="24"/>
        </w:rPr>
      </w:pPr>
    </w:p>
    <w:p w14:paraId="7F965A37" w14:textId="77777777" w:rsidR="001720B5" w:rsidRPr="00323237" w:rsidRDefault="001720B5" w:rsidP="0049702C">
      <w:pPr>
        <w:jc w:val="both"/>
        <w:rPr>
          <w:rFonts w:ascii="Maiandra GD" w:hAnsi="Maiandra GD"/>
          <w:sz w:val="24"/>
          <w:szCs w:val="24"/>
        </w:rPr>
      </w:pPr>
    </w:p>
    <w:p w14:paraId="460FE2B2" w14:textId="77777777" w:rsidR="00186440" w:rsidRPr="00323237" w:rsidRDefault="00186440" w:rsidP="007119E8">
      <w:pPr>
        <w:jc w:val="both"/>
        <w:rPr>
          <w:rFonts w:ascii="Maiandra GD" w:hAnsi="Maiandra GD"/>
          <w:sz w:val="24"/>
          <w:szCs w:val="24"/>
        </w:rPr>
      </w:pPr>
    </w:p>
    <w:p w14:paraId="143EE012" w14:textId="77777777" w:rsidR="007A138E" w:rsidRPr="00323237" w:rsidRDefault="007A138E">
      <w:pPr>
        <w:jc w:val="both"/>
        <w:rPr>
          <w:rFonts w:ascii="Maiandra GD" w:hAnsi="Maiandra GD"/>
          <w:sz w:val="24"/>
          <w:szCs w:val="24"/>
        </w:rPr>
      </w:pPr>
    </w:p>
    <w:sectPr w:rsidR="007A138E" w:rsidRPr="00323237" w:rsidSect="00A3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0C"/>
    <w:rsid w:val="000473FE"/>
    <w:rsid w:val="001720B5"/>
    <w:rsid w:val="00186440"/>
    <w:rsid w:val="00192796"/>
    <w:rsid w:val="001B0FC1"/>
    <w:rsid w:val="001F1DA1"/>
    <w:rsid w:val="002B6CCD"/>
    <w:rsid w:val="00323237"/>
    <w:rsid w:val="0049702C"/>
    <w:rsid w:val="004F3438"/>
    <w:rsid w:val="0055588C"/>
    <w:rsid w:val="005E487C"/>
    <w:rsid w:val="007119E8"/>
    <w:rsid w:val="007401CF"/>
    <w:rsid w:val="007A138E"/>
    <w:rsid w:val="00835E32"/>
    <w:rsid w:val="008B019D"/>
    <w:rsid w:val="00900B4E"/>
    <w:rsid w:val="00911708"/>
    <w:rsid w:val="00982B02"/>
    <w:rsid w:val="00A353E0"/>
    <w:rsid w:val="00A40F0F"/>
    <w:rsid w:val="00AE3823"/>
    <w:rsid w:val="00B92E18"/>
    <w:rsid w:val="00C00624"/>
    <w:rsid w:val="00CA1EEA"/>
    <w:rsid w:val="00CC5B01"/>
    <w:rsid w:val="00CD79B7"/>
    <w:rsid w:val="00D10955"/>
    <w:rsid w:val="00D5188D"/>
    <w:rsid w:val="00E363CB"/>
    <w:rsid w:val="00ED54E3"/>
    <w:rsid w:val="00F7737A"/>
    <w:rsid w:val="00FA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A9E9"/>
  <w15:docId w15:val="{DA15CB89-DF2B-5D4D-9D96-0DA3857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E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CA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Samiullah</dc:creator>
  <cp:lastModifiedBy>Basheer Chowdry</cp:lastModifiedBy>
  <cp:revision>2</cp:revision>
  <cp:lastPrinted>2021-01-24T07:05:00Z</cp:lastPrinted>
  <dcterms:created xsi:type="dcterms:W3CDTF">2021-01-24T07:07:00Z</dcterms:created>
  <dcterms:modified xsi:type="dcterms:W3CDTF">2021-01-24T07:07:00Z</dcterms:modified>
</cp:coreProperties>
</file>